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/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r w:rsidR="00896B25">
              <w:rPr>
                <w:noProof/>
                <w:lang w:eastAsia="el-GR"/>
              </w:rPr>
              <w:drawing>
                <wp:inline distT="0" distB="0" distL="0" distR="0" wp14:anchorId="4F74BD8D" wp14:editId="4C98B91E">
                  <wp:extent cx="1581150" cy="103822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26" cy="104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F4D" w:rsidRPr="00896B25" w:rsidRDefault="00896B25" w:rsidP="00FF6773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896B25" w:rsidP="00FF6773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07477" cy="1152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fo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358" cy="115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FF6773" w:rsidRDefault="00FF6773" w:rsidP="00CA2722">
            <w:pPr>
              <w:jc w:val="center"/>
              <w:rPr>
                <w:b/>
              </w:rPr>
            </w:pPr>
          </w:p>
        </w:tc>
      </w:tr>
    </w:tbl>
    <w:p w:rsidR="00896B25" w:rsidRDefault="00896B25" w:rsidP="007F72AA">
      <w:pPr>
        <w:ind w:firstLine="720"/>
        <w:jc w:val="center"/>
        <w:rPr>
          <w:b/>
        </w:rPr>
      </w:pPr>
      <w:r w:rsidRPr="00722F4D">
        <w:rPr>
          <w:b/>
        </w:rPr>
        <w:t xml:space="preserve">                              </w:t>
      </w:r>
      <w:r>
        <w:rPr>
          <w:b/>
        </w:rPr>
        <w:t xml:space="preserve">                      </w:t>
      </w:r>
      <w:r w:rsidRPr="00DC19A1">
        <w:rPr>
          <w:b/>
        </w:rPr>
        <w:t xml:space="preserve">   </w:t>
      </w:r>
    </w:p>
    <w:p w:rsidR="007F72AA" w:rsidRPr="00E762AF" w:rsidRDefault="00896B25" w:rsidP="00896B25">
      <w:pPr>
        <w:ind w:firstLine="720"/>
        <w:jc w:val="right"/>
        <w:rPr>
          <w:rFonts w:ascii="Times New Roman" w:hAnsi="Times New Roman" w:cs="Times New Roman"/>
          <w:b/>
        </w:rPr>
      </w:pPr>
      <w:r w:rsidRPr="00FF6773">
        <w:rPr>
          <w:b/>
        </w:rPr>
        <w:t xml:space="preserve">Λαμία, </w:t>
      </w:r>
      <w:r>
        <w:rPr>
          <w:b/>
        </w:rPr>
        <w:t>14/10/2015</w:t>
      </w:r>
    </w:p>
    <w:p w:rsidR="00896B25" w:rsidRPr="0074245E" w:rsidRDefault="00896B25" w:rsidP="00896B25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74245E">
        <w:rPr>
          <w:rStyle w:val="a7"/>
          <w:rFonts w:ascii="Times New Roman" w:hAnsi="Times New Roman" w:cs="Times New Roman"/>
          <w:sz w:val="24"/>
          <w:szCs w:val="24"/>
        </w:rPr>
        <w:t>Α</w:t>
      </w:r>
      <w:r>
        <w:rPr>
          <w:rStyle w:val="a7"/>
          <w:rFonts w:ascii="Times New Roman" w:hAnsi="Times New Roman" w:cs="Times New Roman"/>
          <w:sz w:val="24"/>
          <w:szCs w:val="24"/>
        </w:rPr>
        <w:t>νακοίνωση των Δημάρχων Λαμιέων και Δελφών για την α</w:t>
      </w:r>
      <w:r w:rsidRPr="0074245E">
        <w:rPr>
          <w:rStyle w:val="a7"/>
          <w:rFonts w:ascii="Times New Roman" w:hAnsi="Times New Roman" w:cs="Times New Roman"/>
          <w:sz w:val="24"/>
          <w:szCs w:val="24"/>
        </w:rPr>
        <w:t>ναστολή λειτουργίας των Σχολεί</w:t>
      </w:r>
      <w:r>
        <w:rPr>
          <w:rStyle w:val="a7"/>
          <w:rFonts w:ascii="Times New Roman" w:hAnsi="Times New Roman" w:cs="Times New Roman"/>
          <w:sz w:val="24"/>
          <w:szCs w:val="24"/>
        </w:rPr>
        <w:t>ων</w:t>
      </w:r>
      <w:r w:rsidRPr="0074245E">
        <w:rPr>
          <w:rStyle w:val="a7"/>
          <w:rFonts w:ascii="Times New Roman" w:hAnsi="Times New Roman" w:cs="Times New Roman"/>
          <w:sz w:val="24"/>
          <w:szCs w:val="24"/>
        </w:rPr>
        <w:t xml:space="preserve"> Δεύτερης Ευκαιρίας (ΣΔΕ)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της </w:t>
      </w:r>
      <w:r w:rsidRPr="0074245E">
        <w:rPr>
          <w:rStyle w:val="a7"/>
          <w:rFonts w:ascii="Times New Roman" w:hAnsi="Times New Roman" w:cs="Times New Roman"/>
          <w:sz w:val="24"/>
          <w:szCs w:val="24"/>
        </w:rPr>
        <w:t>Λαμία</w:t>
      </w:r>
      <w:r>
        <w:rPr>
          <w:rStyle w:val="a7"/>
          <w:rFonts w:ascii="Times New Roman" w:hAnsi="Times New Roman" w:cs="Times New Roman"/>
          <w:sz w:val="24"/>
          <w:szCs w:val="24"/>
        </w:rPr>
        <w:t>ς</w:t>
      </w:r>
      <w:r w:rsidRPr="0074245E">
        <w:rPr>
          <w:rStyle w:val="a7"/>
          <w:rFonts w:ascii="Times New Roman" w:hAnsi="Times New Roman" w:cs="Times New Roman"/>
          <w:sz w:val="24"/>
          <w:szCs w:val="24"/>
        </w:rPr>
        <w:t xml:space="preserve"> και τη</w:t>
      </w:r>
      <w:r>
        <w:rPr>
          <w:rStyle w:val="a7"/>
          <w:rFonts w:ascii="Times New Roman" w:hAnsi="Times New Roman" w:cs="Times New Roman"/>
          <w:sz w:val="24"/>
          <w:szCs w:val="24"/>
        </w:rPr>
        <w:t>ς</w:t>
      </w:r>
      <w:r w:rsidRPr="0074245E">
        <w:rPr>
          <w:rStyle w:val="a7"/>
          <w:rFonts w:ascii="Times New Roman" w:hAnsi="Times New Roman" w:cs="Times New Roman"/>
          <w:sz w:val="24"/>
          <w:szCs w:val="24"/>
        </w:rPr>
        <w:t xml:space="preserve"> Άμφισσα</w:t>
      </w:r>
      <w:r>
        <w:rPr>
          <w:rStyle w:val="a7"/>
          <w:rFonts w:ascii="Times New Roman" w:hAnsi="Times New Roman" w:cs="Times New Roman"/>
          <w:sz w:val="24"/>
          <w:szCs w:val="24"/>
        </w:rPr>
        <w:t>ς</w:t>
      </w:r>
    </w:p>
    <w:p w:rsidR="00896B25" w:rsidRDefault="00896B25" w:rsidP="00896B2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B25" w:rsidRPr="000D27AA" w:rsidRDefault="00896B25" w:rsidP="00896B2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7AA">
        <w:rPr>
          <w:rFonts w:ascii="Times New Roman" w:hAnsi="Times New Roman" w:cs="Times New Roman"/>
          <w:sz w:val="24"/>
          <w:szCs w:val="24"/>
        </w:rPr>
        <w:t xml:space="preserve">Οι Δήμαρχοι των Δήμων Λαμιέων Νίκος </w:t>
      </w:r>
      <w:proofErr w:type="spellStart"/>
      <w:r w:rsidRPr="000D27AA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0D27AA">
        <w:rPr>
          <w:rFonts w:ascii="Times New Roman" w:hAnsi="Times New Roman" w:cs="Times New Roman"/>
          <w:sz w:val="24"/>
          <w:szCs w:val="24"/>
        </w:rPr>
        <w:t xml:space="preserve"> και Δελφών Αθανάσιος Παναγιωτόπουλος δηλώνουν την κατηγορηματική τους αντίθεση με την αναστολή λειτουργίας των δύο Σχολείων Δεύτερης Ευκαιρίας, των μοναδικών που </w:t>
      </w:r>
      <w:r w:rsidR="00B86D35">
        <w:rPr>
          <w:rFonts w:ascii="Times New Roman" w:hAnsi="Times New Roman" w:cs="Times New Roman"/>
          <w:sz w:val="24"/>
          <w:szCs w:val="24"/>
        </w:rPr>
        <w:t>κλείνουν</w:t>
      </w:r>
      <w:r w:rsidRPr="000D27AA">
        <w:rPr>
          <w:rFonts w:ascii="Times New Roman" w:hAnsi="Times New Roman" w:cs="Times New Roman"/>
          <w:sz w:val="24"/>
          <w:szCs w:val="24"/>
        </w:rPr>
        <w:t xml:space="preserve"> στην Περιφέρεια Στερεάς Ελλάδας</w:t>
      </w:r>
      <w:r w:rsidR="00B86D35">
        <w:rPr>
          <w:rFonts w:ascii="Times New Roman" w:hAnsi="Times New Roman" w:cs="Times New Roman"/>
          <w:sz w:val="24"/>
          <w:szCs w:val="24"/>
        </w:rPr>
        <w:t>,</w:t>
      </w:r>
      <w:r w:rsidRPr="000D27AA">
        <w:rPr>
          <w:rFonts w:ascii="Times New Roman" w:hAnsi="Times New Roman" w:cs="Times New Roman"/>
          <w:sz w:val="24"/>
          <w:szCs w:val="24"/>
        </w:rPr>
        <w:t xml:space="preserve"> και έχουν ως σκοπό να δίνουν τη δυνατότητα σε ενήλικες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AA">
        <w:rPr>
          <w:rFonts w:ascii="Times New Roman" w:hAnsi="Times New Roman" w:cs="Times New Roman"/>
          <w:sz w:val="24"/>
          <w:szCs w:val="24"/>
        </w:rPr>
        <w:t>που δεν έχουν ολοκληρώσει την εννιάχρονη υποχρεωτική εκπαίδευση, να συνεχίσουν τις σπουδές τους και να αποκτήσουν τίτλο ισότιμο με το απολυτήριο του Γυμνασίου.</w:t>
      </w:r>
    </w:p>
    <w:p w:rsidR="00896B25" w:rsidRPr="000D27AA" w:rsidRDefault="00896B25" w:rsidP="00896B2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7AA">
        <w:rPr>
          <w:rFonts w:ascii="Times New Roman" w:hAnsi="Times New Roman" w:cs="Times New Roman"/>
          <w:sz w:val="24"/>
          <w:szCs w:val="24"/>
        </w:rPr>
        <w:t xml:space="preserve">Παρά της αντιξοότητες των τελευταίων χρόνων, η ποιότητα του παρεχόμενου εκπαιδευτικού έργου στα Σχολεία που λειτουργούν στους Δήμους μας εξακολούθησε να είναι υψηλών προδιαγραφών χάρη στο ζήλο και το αξιόμαχο των εκπαιδευτικών </w:t>
      </w:r>
      <w:bookmarkStart w:id="0" w:name="_GoBack"/>
      <w:bookmarkEnd w:id="0"/>
      <w:r w:rsidRPr="000D27AA">
        <w:rPr>
          <w:rFonts w:ascii="Times New Roman" w:hAnsi="Times New Roman" w:cs="Times New Roman"/>
          <w:sz w:val="24"/>
          <w:szCs w:val="24"/>
        </w:rPr>
        <w:t>που πιστεύουν στο θεσμό και τον υπηρετούν, πολλές φορές, με αυταπάρνηση.</w:t>
      </w:r>
    </w:p>
    <w:p w:rsidR="00896B25" w:rsidRPr="000D27AA" w:rsidRDefault="00896B25" w:rsidP="00896B2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7AA">
        <w:rPr>
          <w:rFonts w:ascii="Times New Roman" w:hAnsi="Times New Roman" w:cs="Times New Roman"/>
          <w:sz w:val="24"/>
          <w:szCs w:val="24"/>
        </w:rPr>
        <w:t>Αν λάβουμε υπόψη μας τον τρόπο λειτουργίας των Σχολείων Δεύτερης Ευκαιρίας, καθώς και την μεγάλη ανταπόκριση που παρατηρείται στα Σχολεία των Δήμων μας, είναι φανερό πως ο θεσμός αυτός θα πρέπει να ενισχυθεί επιπλέον από την πολιτεία και όχι να υποβαθμίζεται και, πολύ περισσότερο, τ</w:t>
      </w:r>
      <w:r>
        <w:rPr>
          <w:rFonts w:ascii="Times New Roman" w:hAnsi="Times New Roman" w:cs="Times New Roman"/>
          <w:sz w:val="24"/>
          <w:szCs w:val="24"/>
        </w:rPr>
        <w:t xml:space="preserve">ο Υπουργείο Παιδείας, Έρευνας και Θρησκευμάτων </w:t>
      </w:r>
      <w:r w:rsidRPr="000D27AA">
        <w:rPr>
          <w:rFonts w:ascii="Times New Roman" w:hAnsi="Times New Roman" w:cs="Times New Roman"/>
          <w:sz w:val="24"/>
          <w:szCs w:val="24"/>
        </w:rPr>
        <w:t xml:space="preserve">να προχωρά στο κλείσιμό τους. </w:t>
      </w:r>
    </w:p>
    <w:p w:rsidR="00896B25" w:rsidRPr="0074245E" w:rsidRDefault="00896B25" w:rsidP="00896B2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7AA">
        <w:rPr>
          <w:rFonts w:ascii="Times New Roman" w:hAnsi="Times New Roman" w:cs="Times New Roman"/>
          <w:sz w:val="24"/>
          <w:szCs w:val="24"/>
        </w:rPr>
        <w:t>Ζ</w:t>
      </w:r>
      <w:r>
        <w:rPr>
          <w:rFonts w:ascii="Times New Roman" w:hAnsi="Times New Roman" w:cs="Times New Roman"/>
          <w:sz w:val="24"/>
          <w:szCs w:val="24"/>
        </w:rPr>
        <w:t xml:space="preserve">ητούμε από τον Υπουργό Παιδείας, Έρευνας και Θρησκευμάτων κ. </w:t>
      </w:r>
      <w:r w:rsidRPr="000D27AA">
        <w:rPr>
          <w:rFonts w:ascii="Times New Roman" w:hAnsi="Times New Roman" w:cs="Times New Roman"/>
          <w:sz w:val="24"/>
          <w:szCs w:val="24"/>
        </w:rPr>
        <w:t xml:space="preserve">Νίκο Φίλη </w:t>
      </w:r>
      <w:r>
        <w:rPr>
          <w:rFonts w:ascii="Times New Roman" w:hAnsi="Times New Roman" w:cs="Times New Roman"/>
          <w:sz w:val="24"/>
          <w:szCs w:val="24"/>
        </w:rPr>
        <w:t xml:space="preserve">και τον </w:t>
      </w:r>
      <w:r w:rsidRPr="00421CD2">
        <w:rPr>
          <w:rFonts w:ascii="Times New Roman" w:hAnsi="Times New Roman" w:cs="Times New Roman"/>
          <w:sz w:val="24"/>
          <w:szCs w:val="24"/>
        </w:rPr>
        <w:t xml:space="preserve">Γενικό Γραμματέα Δια Βίου Μάθησης και Νέας Γενιάς, κ. Γεράσιμο </w:t>
      </w:r>
      <w:proofErr w:type="spellStart"/>
      <w:r w:rsidRPr="00421CD2">
        <w:rPr>
          <w:rFonts w:ascii="Times New Roman" w:hAnsi="Times New Roman" w:cs="Times New Roman"/>
          <w:sz w:val="24"/>
          <w:szCs w:val="24"/>
        </w:rPr>
        <w:t>Σπαθή</w:t>
      </w:r>
      <w:proofErr w:type="spellEnd"/>
      <w:r w:rsidRPr="00421CD2">
        <w:rPr>
          <w:rFonts w:ascii="Times New Roman" w:hAnsi="Times New Roman" w:cs="Times New Roman"/>
          <w:sz w:val="24"/>
          <w:szCs w:val="24"/>
        </w:rPr>
        <w:t xml:space="preserve"> </w:t>
      </w:r>
      <w:r w:rsidRPr="000D27AA">
        <w:rPr>
          <w:rFonts w:ascii="Times New Roman" w:hAnsi="Times New Roman" w:cs="Times New Roman"/>
          <w:sz w:val="24"/>
          <w:szCs w:val="24"/>
        </w:rPr>
        <w:t>να συναντηθούμε άμεσα μαζί του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0D27AA">
        <w:rPr>
          <w:rFonts w:ascii="Times New Roman" w:hAnsi="Times New Roman" w:cs="Times New Roman"/>
          <w:sz w:val="24"/>
          <w:szCs w:val="24"/>
        </w:rPr>
        <w:t xml:space="preserve"> προκειμένου να του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0D27AA">
        <w:rPr>
          <w:rFonts w:ascii="Times New Roman" w:hAnsi="Times New Roman" w:cs="Times New Roman"/>
          <w:sz w:val="24"/>
          <w:szCs w:val="24"/>
        </w:rPr>
        <w:t xml:space="preserve"> εκφράσουμε τη ριζική μας αντίθεση στην ανάκληση της λειτουργίας των δύο Σχολείων Δεύτερης Ευκαιρίας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8E" w:rsidRDefault="002F428E" w:rsidP="00FF6773">
      <w:pPr>
        <w:spacing w:after="0" w:line="240" w:lineRule="auto"/>
      </w:pPr>
      <w:r>
        <w:separator/>
      </w:r>
    </w:p>
  </w:endnote>
  <w:endnote w:type="continuationSeparator" w:id="0">
    <w:p w:rsidR="002F428E" w:rsidRDefault="002F428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8E" w:rsidRDefault="002F428E" w:rsidP="00FF6773">
      <w:pPr>
        <w:spacing w:after="0" w:line="240" w:lineRule="auto"/>
      </w:pPr>
      <w:r>
        <w:separator/>
      </w:r>
    </w:p>
  </w:footnote>
  <w:footnote w:type="continuationSeparator" w:id="0">
    <w:p w:rsidR="002F428E" w:rsidRDefault="002F428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2F428E"/>
    <w:rsid w:val="003D16BE"/>
    <w:rsid w:val="004970AB"/>
    <w:rsid w:val="0059594F"/>
    <w:rsid w:val="005D22F6"/>
    <w:rsid w:val="00722F4D"/>
    <w:rsid w:val="007F72AA"/>
    <w:rsid w:val="0080264C"/>
    <w:rsid w:val="008337F2"/>
    <w:rsid w:val="00896B25"/>
    <w:rsid w:val="009E269C"/>
    <w:rsid w:val="00A61CE8"/>
    <w:rsid w:val="00B86D35"/>
    <w:rsid w:val="00CA2722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2015-10-14T12:37:00Z</cp:lastPrinted>
  <dcterms:created xsi:type="dcterms:W3CDTF">2015-10-14T12:37:00Z</dcterms:created>
  <dcterms:modified xsi:type="dcterms:W3CDTF">2015-10-14T16:21:00Z</dcterms:modified>
</cp:coreProperties>
</file>