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52749D30" wp14:editId="5EBF097C">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1354E">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71354E" w:rsidRPr="0071354E">
              <w:rPr>
                <w:b/>
              </w:rPr>
              <w:t>12</w:t>
            </w:r>
            <w:r w:rsidR="00DB26CE">
              <w:rPr>
                <w:b/>
              </w:rPr>
              <w:t>/</w:t>
            </w:r>
            <w:r w:rsidR="00DC2757">
              <w:rPr>
                <w:b/>
              </w:rPr>
              <w:t>5</w:t>
            </w:r>
            <w:r w:rsidR="00DB26CE">
              <w:rPr>
                <w:b/>
              </w:rPr>
              <w:t>/201</w:t>
            </w:r>
            <w:r w:rsidR="00DC19A1">
              <w:rPr>
                <w:b/>
              </w:rPr>
              <w:t>5</w:t>
            </w:r>
          </w:p>
        </w:tc>
      </w:tr>
    </w:tbl>
    <w:p w:rsidR="00DC2757" w:rsidRPr="00424391" w:rsidRDefault="00EB0574" w:rsidP="00DC2757">
      <w:pPr>
        <w:pStyle w:val="a8"/>
        <w:jc w:val="center"/>
        <w:rPr>
          <w:rStyle w:val="a9"/>
          <w:rFonts w:ascii="Times New Roman" w:hAnsi="Times New Roman" w:cs="Times New Roman"/>
          <w:b/>
          <w:i w:val="0"/>
          <w:sz w:val="24"/>
          <w:szCs w:val="24"/>
        </w:rPr>
      </w:pPr>
      <w:r w:rsidRPr="00EB0574">
        <w:rPr>
          <w:rFonts w:ascii="Times New Roman" w:hAnsi="Times New Roman"/>
          <w:b/>
        </w:rPr>
        <w:t>Λήγει στις 26</w:t>
      </w:r>
      <w:bookmarkStart w:id="0" w:name="_GoBack"/>
      <w:bookmarkEnd w:id="0"/>
      <w:r w:rsidRPr="00EB0574">
        <w:rPr>
          <w:rFonts w:ascii="Times New Roman" w:hAnsi="Times New Roman"/>
          <w:b/>
        </w:rPr>
        <w:t xml:space="preserve"> Μαΐου η προθεσμία υποβολής</w:t>
      </w:r>
      <w:r w:rsidRPr="002A5E35">
        <w:rPr>
          <w:rFonts w:ascii="Times New Roman" w:hAnsi="Times New Roman"/>
        </w:rPr>
        <w:t xml:space="preserve"> </w:t>
      </w:r>
      <w:r>
        <w:rPr>
          <w:rStyle w:val="a9"/>
          <w:rFonts w:ascii="Times New Roman" w:hAnsi="Times New Roman" w:cs="Times New Roman"/>
          <w:b/>
          <w:i w:val="0"/>
          <w:sz w:val="24"/>
          <w:szCs w:val="24"/>
        </w:rPr>
        <w:t>για</w:t>
      </w:r>
      <w:r w:rsidR="00DC2757" w:rsidRPr="00424391">
        <w:rPr>
          <w:rStyle w:val="a9"/>
          <w:rFonts w:ascii="Times New Roman" w:hAnsi="Times New Roman" w:cs="Times New Roman"/>
          <w:b/>
          <w:i w:val="0"/>
          <w:sz w:val="24"/>
          <w:szCs w:val="24"/>
        </w:rPr>
        <w:t xml:space="preserve"> ένταξη </w:t>
      </w:r>
    </w:p>
    <w:p w:rsidR="00DC2757" w:rsidRDefault="00DC2757" w:rsidP="00DC2757">
      <w:pPr>
        <w:pStyle w:val="a8"/>
        <w:jc w:val="center"/>
        <w:rPr>
          <w:rStyle w:val="a9"/>
          <w:rFonts w:ascii="Times New Roman" w:hAnsi="Times New Roman"/>
          <w:b/>
          <w:i w:val="0"/>
          <w:sz w:val="24"/>
          <w:szCs w:val="24"/>
        </w:rPr>
      </w:pPr>
      <w:r w:rsidRPr="00424391">
        <w:rPr>
          <w:rStyle w:val="a9"/>
          <w:rFonts w:ascii="Times New Roman" w:hAnsi="Times New Roman" w:cs="Times New Roman"/>
          <w:b/>
          <w:i w:val="0"/>
          <w:sz w:val="24"/>
          <w:szCs w:val="24"/>
        </w:rPr>
        <w:t>στις διατάξεις του Νόμου για τις 100 δόσεις για τα χρέη προς το Δήμο Λαμιέων</w:t>
      </w:r>
    </w:p>
    <w:p w:rsidR="00DC2757" w:rsidRPr="00424391" w:rsidRDefault="00DC2757" w:rsidP="00DC2757">
      <w:pPr>
        <w:pStyle w:val="a8"/>
        <w:jc w:val="center"/>
        <w:rPr>
          <w:rStyle w:val="a9"/>
          <w:rFonts w:ascii="Times New Roman" w:hAnsi="Times New Roman" w:cs="Times New Roman"/>
          <w:b/>
          <w:i w:val="0"/>
          <w:sz w:val="24"/>
          <w:szCs w:val="24"/>
        </w:rPr>
      </w:pPr>
    </w:p>
    <w:p w:rsidR="00DC2757" w:rsidRPr="002A5E35" w:rsidRDefault="00EB0574" w:rsidP="00DC2757">
      <w:pPr>
        <w:pStyle w:val="a8"/>
        <w:spacing w:line="276" w:lineRule="auto"/>
        <w:ind w:firstLine="720"/>
        <w:jc w:val="both"/>
        <w:rPr>
          <w:rFonts w:ascii="Times New Roman" w:hAnsi="Times New Roman"/>
        </w:rPr>
      </w:pPr>
      <w:r>
        <w:rPr>
          <w:rFonts w:ascii="Times New Roman" w:hAnsi="Times New Roman"/>
        </w:rPr>
        <w:t xml:space="preserve">Λήγει στις </w:t>
      </w:r>
      <w:r w:rsidRPr="002A5E35">
        <w:rPr>
          <w:rFonts w:ascii="Times New Roman" w:hAnsi="Times New Roman"/>
        </w:rPr>
        <w:t>26η Μαΐου 2015</w:t>
      </w:r>
      <w:r>
        <w:rPr>
          <w:rFonts w:ascii="Times New Roman" w:hAnsi="Times New Roman"/>
        </w:rPr>
        <w:t xml:space="preserve"> η </w:t>
      </w:r>
      <w:r w:rsidRPr="002A5E35">
        <w:rPr>
          <w:rFonts w:ascii="Times New Roman" w:hAnsi="Times New Roman"/>
        </w:rPr>
        <w:t xml:space="preserve">προθεσμία υποβολής των αιτήσεων </w:t>
      </w:r>
      <w:r>
        <w:rPr>
          <w:rFonts w:ascii="Times New Roman" w:hAnsi="Times New Roman"/>
        </w:rPr>
        <w:t>για την υπαγωγή</w:t>
      </w:r>
      <w:r w:rsidRPr="002A5E35">
        <w:rPr>
          <w:rFonts w:ascii="Times New Roman" w:hAnsi="Times New Roman"/>
        </w:rPr>
        <w:t xml:space="preserve"> στη ρύθμιση </w:t>
      </w:r>
      <w:r w:rsidR="00DC2757">
        <w:rPr>
          <w:rFonts w:ascii="Times New Roman" w:hAnsi="Times New Roman"/>
        </w:rPr>
        <w:t>για την ένταξή σ</w:t>
      </w:r>
      <w:r w:rsidR="00DC2757" w:rsidRPr="002A5E35">
        <w:rPr>
          <w:rFonts w:ascii="Times New Roman" w:hAnsi="Times New Roman"/>
        </w:rPr>
        <w:t>τις διατάξεις του Νόμου 4321/2015 (ΦΕΚ 32/21.03.2015 τεύχος Α’) «Ρυθμίσεις για την επανεκκίνηση της οικονομίας»</w:t>
      </w:r>
      <w:r w:rsidR="00DC2757">
        <w:rPr>
          <w:rFonts w:ascii="Times New Roman" w:hAnsi="Times New Roman"/>
        </w:rPr>
        <w:t xml:space="preserve"> με τον οποίο δίνεται </w:t>
      </w:r>
      <w:r w:rsidR="00DC2757" w:rsidRPr="002A5E35">
        <w:rPr>
          <w:rFonts w:ascii="Times New Roman" w:hAnsi="Times New Roman"/>
        </w:rPr>
        <w:t xml:space="preserve">η δυνατότητα στους δημότες να ρυθμίσουν έως και σε εκατό δόσεις τις πάσης φύσεως ληξιπρόθεσμες οφειλές προς το Δήμο και τα νομικά του πρόσωπα. </w:t>
      </w:r>
    </w:p>
    <w:p w:rsidR="00DC2757" w:rsidRPr="000222EB" w:rsidRDefault="00DC2757" w:rsidP="00DC2757">
      <w:pPr>
        <w:pStyle w:val="a8"/>
        <w:spacing w:line="276" w:lineRule="auto"/>
        <w:ind w:firstLine="720"/>
        <w:jc w:val="both"/>
        <w:rPr>
          <w:rFonts w:ascii="Times New Roman" w:hAnsi="Times New Roman"/>
        </w:rPr>
      </w:pPr>
      <w:r w:rsidRPr="002A5E35">
        <w:rPr>
          <w:rFonts w:ascii="Times New Roman" w:hAnsi="Times New Roman"/>
        </w:rPr>
        <w:t>Ο Δήμος Λαμιέων</w:t>
      </w:r>
      <w:r>
        <w:rPr>
          <w:rFonts w:ascii="Times New Roman" w:hAnsi="Times New Roman"/>
        </w:rPr>
        <w:t xml:space="preserve"> υπενθυμίζει ότι</w:t>
      </w:r>
      <w:r w:rsidRPr="000222EB">
        <w:rPr>
          <w:rFonts w:ascii="Times New Roman" w:hAnsi="Times New Roman"/>
        </w:rPr>
        <w:t>:</w:t>
      </w:r>
    </w:p>
    <w:p w:rsidR="00DC2757" w:rsidRPr="002A5E35" w:rsidRDefault="00DC2757" w:rsidP="00DC2757">
      <w:pPr>
        <w:pStyle w:val="a8"/>
        <w:spacing w:line="276" w:lineRule="auto"/>
        <w:jc w:val="both"/>
        <w:rPr>
          <w:rFonts w:ascii="Times New Roman" w:hAnsi="Times New Roman"/>
        </w:rPr>
      </w:pPr>
      <w:r w:rsidRPr="002A5E35">
        <w:rPr>
          <w:rFonts w:ascii="Times New Roman" w:hAnsi="Times New Roman"/>
        </w:rPr>
        <w:tab/>
      </w:r>
      <w:r w:rsidR="00EB0574">
        <w:rPr>
          <w:rFonts w:ascii="Times New Roman" w:hAnsi="Times New Roman"/>
        </w:rPr>
        <w:t>1</w:t>
      </w:r>
      <w:r w:rsidRPr="002A5E35">
        <w:rPr>
          <w:rFonts w:ascii="Times New Roman" w:hAnsi="Times New Roman"/>
        </w:rPr>
        <w:t>. Στη ρύθμιση υπάγεται το σύνολο των οφειλών που θα έχουν βεβαιωθεί έως τις 26.5.2015 προς το Δήμο συμπεριλαμβανομένων των οφειλών που προκύπτουν από εισφορά σε χρήμα ή τη μετατροπή εισφοράς γης σε χρήμα των προς ένταξη ή και των ήδη ενταγμένων ιδιοκτησιών, σύμφωνα με το ν. 1337/1983.</w:t>
      </w:r>
    </w:p>
    <w:p w:rsidR="00DC2757" w:rsidRPr="002A5E35" w:rsidRDefault="00DC2757" w:rsidP="00DC2757">
      <w:pPr>
        <w:pStyle w:val="a8"/>
        <w:spacing w:line="276" w:lineRule="auto"/>
        <w:jc w:val="both"/>
        <w:rPr>
          <w:rFonts w:ascii="Times New Roman" w:hAnsi="Times New Roman"/>
        </w:rPr>
      </w:pPr>
      <w:r w:rsidRPr="002A5E35">
        <w:rPr>
          <w:rFonts w:ascii="Times New Roman" w:hAnsi="Times New Roman"/>
        </w:rPr>
        <w:tab/>
      </w:r>
      <w:r w:rsidR="00EB0574">
        <w:rPr>
          <w:rFonts w:ascii="Times New Roman" w:hAnsi="Times New Roman"/>
        </w:rPr>
        <w:t>2</w:t>
      </w:r>
      <w:r w:rsidRPr="002A5E35">
        <w:rPr>
          <w:rFonts w:ascii="Times New Roman" w:hAnsi="Times New Roman"/>
        </w:rPr>
        <w:t>. Για την υπαγωγή στη ρύθμιση του άρθρου 1 του Ν. 4321/2015 πρέπει να καταβληθεί η πρώτη δόση εντός τριών (3) εργάσιμων ημερών από την ημερομηνία αίτησης υπαγωγής στη ρύθμιση. Οι επόμενες δόσεις καταβάλλονται έως την τελευταία εργάσιμη ημέρα των επομένων μηνών από την ημερομηνία αίτησης υπαγωγής στη ρύθμιση.</w:t>
      </w:r>
    </w:p>
    <w:p w:rsidR="00DC2757" w:rsidRPr="002A5E35" w:rsidRDefault="00DC2757" w:rsidP="00DC2757">
      <w:pPr>
        <w:pStyle w:val="a8"/>
        <w:spacing w:line="276" w:lineRule="auto"/>
        <w:jc w:val="both"/>
        <w:rPr>
          <w:rFonts w:ascii="Times New Roman" w:hAnsi="Times New Roman"/>
        </w:rPr>
      </w:pPr>
      <w:r w:rsidRPr="002A5E35">
        <w:rPr>
          <w:rFonts w:ascii="Times New Roman" w:hAnsi="Times New Roman"/>
        </w:rPr>
        <w:tab/>
      </w:r>
      <w:r w:rsidR="00EB0574">
        <w:rPr>
          <w:rFonts w:ascii="Times New Roman" w:hAnsi="Times New Roman"/>
        </w:rPr>
        <w:t>3</w:t>
      </w:r>
      <w:r w:rsidRPr="002A5E35">
        <w:rPr>
          <w:rFonts w:ascii="Times New Roman" w:hAnsi="Times New Roman"/>
        </w:rPr>
        <w:t>. Το ελάχιστο ποσό μηνιαίας δόσης της ρύθμισης δεν μπορεί να είναι μικρότερο των είκοσι (20) ευρώ.</w:t>
      </w:r>
    </w:p>
    <w:p w:rsidR="00DC2757" w:rsidRPr="002A5E35" w:rsidRDefault="00DC2757" w:rsidP="00DC2757">
      <w:pPr>
        <w:pStyle w:val="a8"/>
        <w:spacing w:line="276" w:lineRule="auto"/>
        <w:jc w:val="both"/>
        <w:rPr>
          <w:rFonts w:ascii="Times New Roman" w:hAnsi="Times New Roman"/>
        </w:rPr>
      </w:pPr>
      <w:r w:rsidRPr="002A5E35">
        <w:rPr>
          <w:rFonts w:ascii="Times New Roman" w:hAnsi="Times New Roman"/>
        </w:rPr>
        <w:tab/>
      </w:r>
      <w:r w:rsidR="00EB0574">
        <w:rPr>
          <w:rFonts w:ascii="Times New Roman" w:hAnsi="Times New Roman"/>
        </w:rPr>
        <w:t>4</w:t>
      </w:r>
      <w:r w:rsidRPr="002A5E35">
        <w:rPr>
          <w:rFonts w:ascii="Times New Roman" w:hAnsi="Times New Roman"/>
        </w:rPr>
        <w:t>. Οι οφειλές δύνανται να καταβληθούν εφάπαξ ή σε μηνιαίες δόσεις με απαλλαγή κατά ποσοστό από τις προσαυξήσεις και τους τόκους εκπρόθεσμης καταβολής που τις επιβαρύνουν.</w:t>
      </w:r>
    </w:p>
    <w:p w:rsidR="00DC2757" w:rsidRPr="002A5E35" w:rsidRDefault="00DC2757" w:rsidP="00DC2757">
      <w:pPr>
        <w:pStyle w:val="a8"/>
        <w:spacing w:line="276" w:lineRule="auto"/>
        <w:ind w:firstLine="720"/>
        <w:rPr>
          <w:rFonts w:ascii="Times New Roman" w:hAnsi="Times New Roman"/>
        </w:rPr>
      </w:pPr>
      <w:r w:rsidRPr="002A5E35">
        <w:rPr>
          <w:rFonts w:ascii="Times New Roman" w:hAnsi="Times New Roman"/>
        </w:rPr>
        <w:t>Πιο συγκεκριμένα:</w:t>
      </w:r>
    </w:p>
    <w:tbl>
      <w:tblPr>
        <w:tblStyle w:val="a3"/>
        <w:tblW w:w="0" w:type="auto"/>
        <w:tblLayout w:type="fixed"/>
        <w:tblLook w:val="01E0" w:firstRow="1" w:lastRow="1" w:firstColumn="1" w:lastColumn="1" w:noHBand="0" w:noVBand="0"/>
      </w:tblPr>
      <w:tblGrid>
        <w:gridCol w:w="1008"/>
        <w:gridCol w:w="1980"/>
        <w:gridCol w:w="1800"/>
        <w:gridCol w:w="1080"/>
        <w:gridCol w:w="1980"/>
        <w:gridCol w:w="2007"/>
      </w:tblGrid>
      <w:tr w:rsidR="00DC2757" w:rsidRPr="0044199E" w:rsidTr="00FD790A">
        <w:tc>
          <w:tcPr>
            <w:tcW w:w="1008" w:type="dxa"/>
          </w:tcPr>
          <w:p w:rsidR="00DC2757" w:rsidRPr="0044199E" w:rsidRDefault="00DC2757" w:rsidP="00FD790A">
            <w:pPr>
              <w:ind w:right="425"/>
              <w:rPr>
                <w:sz w:val="18"/>
                <w:szCs w:val="18"/>
              </w:rPr>
            </w:pPr>
            <w:r w:rsidRPr="0044199E">
              <w:rPr>
                <w:sz w:val="18"/>
                <w:szCs w:val="18"/>
              </w:rPr>
              <w:t>α/α</w:t>
            </w:r>
          </w:p>
        </w:tc>
        <w:tc>
          <w:tcPr>
            <w:tcW w:w="1980" w:type="dxa"/>
          </w:tcPr>
          <w:p w:rsidR="00DC2757" w:rsidRPr="0044199E" w:rsidRDefault="00DC2757" w:rsidP="00FD790A">
            <w:pPr>
              <w:ind w:right="425"/>
              <w:rPr>
                <w:sz w:val="18"/>
                <w:szCs w:val="18"/>
              </w:rPr>
            </w:pPr>
            <w:r w:rsidRPr="0044199E">
              <w:rPr>
                <w:sz w:val="18"/>
                <w:szCs w:val="18"/>
              </w:rPr>
              <w:t>ΑΡΙΘΜΟΣ ΔΟΣΕΩΝ</w:t>
            </w:r>
          </w:p>
        </w:tc>
        <w:tc>
          <w:tcPr>
            <w:tcW w:w="1800" w:type="dxa"/>
          </w:tcPr>
          <w:p w:rsidR="00DC2757" w:rsidRPr="0044199E" w:rsidRDefault="00DC2757" w:rsidP="00FD790A">
            <w:pPr>
              <w:ind w:right="425"/>
              <w:rPr>
                <w:sz w:val="18"/>
                <w:szCs w:val="18"/>
              </w:rPr>
            </w:pPr>
            <w:r w:rsidRPr="0044199E">
              <w:rPr>
                <w:sz w:val="18"/>
                <w:szCs w:val="18"/>
              </w:rPr>
              <w:t>ΑΠΑΛΛΑΓΗ</w:t>
            </w:r>
          </w:p>
        </w:tc>
        <w:tc>
          <w:tcPr>
            <w:tcW w:w="1080" w:type="dxa"/>
          </w:tcPr>
          <w:p w:rsidR="00DC2757" w:rsidRPr="0044199E" w:rsidRDefault="00DC2757" w:rsidP="00FD790A">
            <w:pPr>
              <w:ind w:right="425"/>
              <w:rPr>
                <w:sz w:val="18"/>
                <w:szCs w:val="18"/>
              </w:rPr>
            </w:pPr>
            <w:r w:rsidRPr="0044199E">
              <w:rPr>
                <w:sz w:val="18"/>
                <w:szCs w:val="18"/>
              </w:rPr>
              <w:t>α/α</w:t>
            </w:r>
          </w:p>
        </w:tc>
        <w:tc>
          <w:tcPr>
            <w:tcW w:w="1980" w:type="dxa"/>
          </w:tcPr>
          <w:p w:rsidR="00DC2757" w:rsidRPr="0044199E" w:rsidRDefault="00DC2757" w:rsidP="00FD790A">
            <w:pPr>
              <w:ind w:right="425"/>
              <w:rPr>
                <w:sz w:val="18"/>
                <w:szCs w:val="18"/>
              </w:rPr>
            </w:pPr>
            <w:r w:rsidRPr="0044199E">
              <w:rPr>
                <w:sz w:val="18"/>
                <w:szCs w:val="18"/>
              </w:rPr>
              <w:t>ΑΡΙΘΜΟΣ ΔΟΣΕΩΝ</w:t>
            </w:r>
          </w:p>
        </w:tc>
        <w:tc>
          <w:tcPr>
            <w:tcW w:w="2007" w:type="dxa"/>
          </w:tcPr>
          <w:p w:rsidR="00DC2757" w:rsidRPr="0044199E" w:rsidRDefault="00DC2757" w:rsidP="00FD790A">
            <w:pPr>
              <w:ind w:right="425"/>
              <w:rPr>
                <w:sz w:val="18"/>
                <w:szCs w:val="18"/>
              </w:rPr>
            </w:pPr>
            <w:r w:rsidRPr="0044199E">
              <w:rPr>
                <w:sz w:val="18"/>
                <w:szCs w:val="18"/>
              </w:rPr>
              <w:t>ΑΠΑΛΛΑΓΗ</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1</w:t>
            </w:r>
          </w:p>
        </w:tc>
        <w:tc>
          <w:tcPr>
            <w:tcW w:w="1980" w:type="dxa"/>
          </w:tcPr>
          <w:p w:rsidR="00DC2757" w:rsidRPr="0044199E" w:rsidRDefault="00DC2757" w:rsidP="00FD790A">
            <w:pPr>
              <w:ind w:right="425"/>
              <w:rPr>
                <w:sz w:val="18"/>
                <w:szCs w:val="18"/>
              </w:rPr>
            </w:pPr>
            <w:r w:rsidRPr="0044199E">
              <w:rPr>
                <w:sz w:val="18"/>
                <w:szCs w:val="18"/>
              </w:rPr>
              <w:t>εφάπαξ</w:t>
            </w:r>
          </w:p>
        </w:tc>
        <w:tc>
          <w:tcPr>
            <w:tcW w:w="1800" w:type="dxa"/>
          </w:tcPr>
          <w:p w:rsidR="00DC2757" w:rsidRPr="0044199E" w:rsidRDefault="00DC2757" w:rsidP="00FD790A">
            <w:pPr>
              <w:ind w:right="425"/>
              <w:rPr>
                <w:sz w:val="18"/>
                <w:szCs w:val="18"/>
              </w:rPr>
            </w:pPr>
            <w:r w:rsidRPr="0044199E">
              <w:rPr>
                <w:sz w:val="18"/>
                <w:szCs w:val="18"/>
              </w:rPr>
              <w:t>100 %</w:t>
            </w:r>
          </w:p>
        </w:tc>
        <w:tc>
          <w:tcPr>
            <w:tcW w:w="1080" w:type="dxa"/>
          </w:tcPr>
          <w:p w:rsidR="00DC2757" w:rsidRPr="0044199E" w:rsidRDefault="00DC2757" w:rsidP="00FD790A">
            <w:pPr>
              <w:ind w:right="425"/>
              <w:rPr>
                <w:sz w:val="18"/>
                <w:szCs w:val="18"/>
              </w:rPr>
            </w:pPr>
            <w:r w:rsidRPr="0044199E">
              <w:rPr>
                <w:sz w:val="18"/>
                <w:szCs w:val="18"/>
              </w:rPr>
              <w:t>7</w:t>
            </w:r>
          </w:p>
        </w:tc>
        <w:tc>
          <w:tcPr>
            <w:tcW w:w="1980" w:type="dxa"/>
          </w:tcPr>
          <w:p w:rsidR="00DC2757" w:rsidRPr="0044199E" w:rsidRDefault="00DC2757" w:rsidP="00FD790A">
            <w:pPr>
              <w:ind w:right="425"/>
              <w:rPr>
                <w:sz w:val="18"/>
                <w:szCs w:val="18"/>
              </w:rPr>
            </w:pPr>
            <w:r w:rsidRPr="0044199E">
              <w:rPr>
                <w:sz w:val="18"/>
                <w:szCs w:val="18"/>
              </w:rPr>
              <w:t>41 έως και 50</w:t>
            </w:r>
          </w:p>
        </w:tc>
        <w:tc>
          <w:tcPr>
            <w:tcW w:w="2007" w:type="dxa"/>
          </w:tcPr>
          <w:p w:rsidR="00DC2757" w:rsidRPr="0044199E" w:rsidRDefault="00DC2757" w:rsidP="00FD790A">
            <w:pPr>
              <w:ind w:right="425"/>
              <w:rPr>
                <w:sz w:val="18"/>
                <w:szCs w:val="18"/>
              </w:rPr>
            </w:pPr>
            <w:r w:rsidRPr="0044199E">
              <w:rPr>
                <w:sz w:val="18"/>
                <w:szCs w:val="18"/>
              </w:rPr>
              <w:t>60 %</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2</w:t>
            </w:r>
          </w:p>
        </w:tc>
        <w:tc>
          <w:tcPr>
            <w:tcW w:w="1980" w:type="dxa"/>
          </w:tcPr>
          <w:p w:rsidR="00DC2757" w:rsidRPr="0044199E" w:rsidRDefault="00DC2757" w:rsidP="00FD790A">
            <w:pPr>
              <w:ind w:right="425"/>
              <w:rPr>
                <w:sz w:val="18"/>
                <w:szCs w:val="18"/>
              </w:rPr>
            </w:pPr>
            <w:r w:rsidRPr="0044199E">
              <w:rPr>
                <w:sz w:val="18"/>
                <w:szCs w:val="18"/>
              </w:rPr>
              <w:t>2 έως και 5</w:t>
            </w:r>
          </w:p>
        </w:tc>
        <w:tc>
          <w:tcPr>
            <w:tcW w:w="1800" w:type="dxa"/>
          </w:tcPr>
          <w:p w:rsidR="00DC2757" w:rsidRPr="0044199E" w:rsidRDefault="00DC2757" w:rsidP="00FD790A">
            <w:pPr>
              <w:ind w:right="425"/>
              <w:rPr>
                <w:sz w:val="18"/>
                <w:szCs w:val="18"/>
              </w:rPr>
            </w:pPr>
            <w:r w:rsidRPr="0044199E">
              <w:rPr>
                <w:sz w:val="18"/>
                <w:szCs w:val="18"/>
              </w:rPr>
              <w:t>90 %</w:t>
            </w:r>
          </w:p>
        </w:tc>
        <w:tc>
          <w:tcPr>
            <w:tcW w:w="1080" w:type="dxa"/>
          </w:tcPr>
          <w:p w:rsidR="00DC2757" w:rsidRPr="0044199E" w:rsidRDefault="00DC2757" w:rsidP="00FD790A">
            <w:pPr>
              <w:ind w:right="425"/>
              <w:rPr>
                <w:sz w:val="18"/>
                <w:szCs w:val="18"/>
              </w:rPr>
            </w:pPr>
            <w:r w:rsidRPr="0044199E">
              <w:rPr>
                <w:sz w:val="18"/>
                <w:szCs w:val="18"/>
              </w:rPr>
              <w:t>8</w:t>
            </w:r>
          </w:p>
        </w:tc>
        <w:tc>
          <w:tcPr>
            <w:tcW w:w="1980" w:type="dxa"/>
          </w:tcPr>
          <w:p w:rsidR="00DC2757" w:rsidRPr="0044199E" w:rsidRDefault="00DC2757" w:rsidP="00FD790A">
            <w:pPr>
              <w:ind w:right="425"/>
              <w:rPr>
                <w:sz w:val="18"/>
                <w:szCs w:val="18"/>
              </w:rPr>
            </w:pPr>
            <w:r w:rsidRPr="0044199E">
              <w:rPr>
                <w:sz w:val="18"/>
                <w:szCs w:val="18"/>
              </w:rPr>
              <w:t>51 έως και 60</w:t>
            </w:r>
          </w:p>
        </w:tc>
        <w:tc>
          <w:tcPr>
            <w:tcW w:w="2007" w:type="dxa"/>
          </w:tcPr>
          <w:p w:rsidR="00DC2757" w:rsidRPr="0044199E" w:rsidRDefault="00DC2757" w:rsidP="00FD790A">
            <w:pPr>
              <w:ind w:right="425"/>
              <w:rPr>
                <w:sz w:val="18"/>
                <w:szCs w:val="18"/>
              </w:rPr>
            </w:pPr>
            <w:r w:rsidRPr="0044199E">
              <w:rPr>
                <w:sz w:val="18"/>
                <w:szCs w:val="18"/>
              </w:rPr>
              <w:t>55 %</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3</w:t>
            </w:r>
          </w:p>
        </w:tc>
        <w:tc>
          <w:tcPr>
            <w:tcW w:w="1980" w:type="dxa"/>
          </w:tcPr>
          <w:p w:rsidR="00DC2757" w:rsidRPr="0044199E" w:rsidRDefault="00DC2757" w:rsidP="00FD790A">
            <w:pPr>
              <w:ind w:right="425"/>
              <w:rPr>
                <w:sz w:val="18"/>
                <w:szCs w:val="18"/>
              </w:rPr>
            </w:pPr>
            <w:r w:rsidRPr="0044199E">
              <w:rPr>
                <w:sz w:val="18"/>
                <w:szCs w:val="18"/>
              </w:rPr>
              <w:t>6 έως και 10</w:t>
            </w:r>
          </w:p>
        </w:tc>
        <w:tc>
          <w:tcPr>
            <w:tcW w:w="1800" w:type="dxa"/>
          </w:tcPr>
          <w:p w:rsidR="00DC2757" w:rsidRPr="0044199E" w:rsidRDefault="00DC2757" w:rsidP="00FD790A">
            <w:pPr>
              <w:ind w:right="425"/>
              <w:rPr>
                <w:sz w:val="18"/>
                <w:szCs w:val="18"/>
              </w:rPr>
            </w:pPr>
            <w:r w:rsidRPr="0044199E">
              <w:rPr>
                <w:sz w:val="18"/>
                <w:szCs w:val="18"/>
              </w:rPr>
              <w:t>80 %</w:t>
            </w:r>
          </w:p>
        </w:tc>
        <w:tc>
          <w:tcPr>
            <w:tcW w:w="1080" w:type="dxa"/>
          </w:tcPr>
          <w:p w:rsidR="00DC2757" w:rsidRPr="0044199E" w:rsidRDefault="00DC2757" w:rsidP="00FD790A">
            <w:pPr>
              <w:ind w:right="425"/>
              <w:rPr>
                <w:sz w:val="18"/>
                <w:szCs w:val="18"/>
              </w:rPr>
            </w:pPr>
            <w:r w:rsidRPr="0044199E">
              <w:rPr>
                <w:sz w:val="18"/>
                <w:szCs w:val="18"/>
              </w:rPr>
              <w:t>9</w:t>
            </w:r>
          </w:p>
        </w:tc>
        <w:tc>
          <w:tcPr>
            <w:tcW w:w="1980" w:type="dxa"/>
          </w:tcPr>
          <w:p w:rsidR="00DC2757" w:rsidRPr="0044199E" w:rsidRDefault="00DC2757" w:rsidP="00FD790A">
            <w:pPr>
              <w:ind w:right="425"/>
              <w:rPr>
                <w:sz w:val="18"/>
                <w:szCs w:val="18"/>
              </w:rPr>
            </w:pPr>
            <w:r w:rsidRPr="0044199E">
              <w:rPr>
                <w:sz w:val="18"/>
                <w:szCs w:val="18"/>
              </w:rPr>
              <w:t>61 έως και 70</w:t>
            </w:r>
          </w:p>
        </w:tc>
        <w:tc>
          <w:tcPr>
            <w:tcW w:w="2007" w:type="dxa"/>
          </w:tcPr>
          <w:p w:rsidR="00DC2757" w:rsidRPr="0044199E" w:rsidRDefault="00DC2757" w:rsidP="00FD790A">
            <w:pPr>
              <w:ind w:right="425"/>
              <w:rPr>
                <w:sz w:val="18"/>
                <w:szCs w:val="18"/>
              </w:rPr>
            </w:pPr>
            <w:r w:rsidRPr="0044199E">
              <w:rPr>
                <w:sz w:val="18"/>
                <w:szCs w:val="18"/>
              </w:rPr>
              <w:t>50 %</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4</w:t>
            </w:r>
          </w:p>
        </w:tc>
        <w:tc>
          <w:tcPr>
            <w:tcW w:w="1980" w:type="dxa"/>
          </w:tcPr>
          <w:p w:rsidR="00DC2757" w:rsidRPr="0044199E" w:rsidRDefault="00DC2757" w:rsidP="00FD790A">
            <w:pPr>
              <w:ind w:right="425"/>
              <w:rPr>
                <w:sz w:val="18"/>
                <w:szCs w:val="18"/>
              </w:rPr>
            </w:pPr>
            <w:r w:rsidRPr="0044199E">
              <w:rPr>
                <w:sz w:val="18"/>
                <w:szCs w:val="18"/>
              </w:rPr>
              <w:t>11 έως και 20</w:t>
            </w:r>
          </w:p>
        </w:tc>
        <w:tc>
          <w:tcPr>
            <w:tcW w:w="1800" w:type="dxa"/>
          </w:tcPr>
          <w:p w:rsidR="00DC2757" w:rsidRPr="0044199E" w:rsidRDefault="00DC2757" w:rsidP="00FD790A">
            <w:pPr>
              <w:ind w:right="425"/>
              <w:rPr>
                <w:sz w:val="18"/>
                <w:szCs w:val="18"/>
              </w:rPr>
            </w:pPr>
            <w:r w:rsidRPr="0044199E">
              <w:rPr>
                <w:sz w:val="18"/>
                <w:szCs w:val="18"/>
              </w:rPr>
              <w:t>75 %</w:t>
            </w:r>
          </w:p>
        </w:tc>
        <w:tc>
          <w:tcPr>
            <w:tcW w:w="1080" w:type="dxa"/>
          </w:tcPr>
          <w:p w:rsidR="00DC2757" w:rsidRPr="0044199E" w:rsidRDefault="00DC2757" w:rsidP="00FD790A">
            <w:pPr>
              <w:ind w:right="425"/>
              <w:rPr>
                <w:sz w:val="18"/>
                <w:szCs w:val="18"/>
              </w:rPr>
            </w:pPr>
            <w:r w:rsidRPr="0044199E">
              <w:rPr>
                <w:sz w:val="18"/>
                <w:szCs w:val="18"/>
              </w:rPr>
              <w:t>10</w:t>
            </w:r>
          </w:p>
        </w:tc>
        <w:tc>
          <w:tcPr>
            <w:tcW w:w="1980" w:type="dxa"/>
          </w:tcPr>
          <w:p w:rsidR="00DC2757" w:rsidRPr="0044199E" w:rsidRDefault="00DC2757" w:rsidP="00FD790A">
            <w:pPr>
              <w:ind w:right="425"/>
              <w:rPr>
                <w:sz w:val="18"/>
                <w:szCs w:val="18"/>
              </w:rPr>
            </w:pPr>
            <w:r w:rsidRPr="0044199E">
              <w:rPr>
                <w:sz w:val="18"/>
                <w:szCs w:val="18"/>
              </w:rPr>
              <w:t>71 έως και 80</w:t>
            </w:r>
          </w:p>
        </w:tc>
        <w:tc>
          <w:tcPr>
            <w:tcW w:w="2007" w:type="dxa"/>
          </w:tcPr>
          <w:p w:rsidR="00DC2757" w:rsidRPr="0044199E" w:rsidRDefault="00DC2757" w:rsidP="00FD790A">
            <w:pPr>
              <w:ind w:right="425"/>
              <w:rPr>
                <w:sz w:val="18"/>
                <w:szCs w:val="18"/>
              </w:rPr>
            </w:pPr>
            <w:r w:rsidRPr="0044199E">
              <w:rPr>
                <w:sz w:val="18"/>
                <w:szCs w:val="18"/>
              </w:rPr>
              <w:t>45 %</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5</w:t>
            </w:r>
          </w:p>
        </w:tc>
        <w:tc>
          <w:tcPr>
            <w:tcW w:w="1980" w:type="dxa"/>
          </w:tcPr>
          <w:p w:rsidR="00DC2757" w:rsidRPr="0044199E" w:rsidRDefault="00DC2757" w:rsidP="00FD790A">
            <w:pPr>
              <w:ind w:right="425"/>
              <w:rPr>
                <w:sz w:val="18"/>
                <w:szCs w:val="18"/>
              </w:rPr>
            </w:pPr>
            <w:r w:rsidRPr="0044199E">
              <w:rPr>
                <w:sz w:val="18"/>
                <w:szCs w:val="18"/>
              </w:rPr>
              <w:t>21 έως και 30</w:t>
            </w:r>
          </w:p>
        </w:tc>
        <w:tc>
          <w:tcPr>
            <w:tcW w:w="1800" w:type="dxa"/>
          </w:tcPr>
          <w:p w:rsidR="00DC2757" w:rsidRPr="0044199E" w:rsidRDefault="00DC2757" w:rsidP="00FD790A">
            <w:pPr>
              <w:ind w:right="425"/>
              <w:rPr>
                <w:sz w:val="18"/>
                <w:szCs w:val="18"/>
              </w:rPr>
            </w:pPr>
            <w:r w:rsidRPr="0044199E">
              <w:rPr>
                <w:sz w:val="18"/>
                <w:szCs w:val="18"/>
              </w:rPr>
              <w:t>70 %</w:t>
            </w:r>
          </w:p>
        </w:tc>
        <w:tc>
          <w:tcPr>
            <w:tcW w:w="1080" w:type="dxa"/>
          </w:tcPr>
          <w:p w:rsidR="00DC2757" w:rsidRPr="0044199E" w:rsidRDefault="00DC2757" w:rsidP="00FD790A">
            <w:pPr>
              <w:ind w:right="425"/>
              <w:rPr>
                <w:sz w:val="18"/>
                <w:szCs w:val="18"/>
              </w:rPr>
            </w:pPr>
            <w:r w:rsidRPr="0044199E">
              <w:rPr>
                <w:sz w:val="18"/>
                <w:szCs w:val="18"/>
              </w:rPr>
              <w:t>11</w:t>
            </w:r>
          </w:p>
        </w:tc>
        <w:tc>
          <w:tcPr>
            <w:tcW w:w="1980" w:type="dxa"/>
          </w:tcPr>
          <w:p w:rsidR="00DC2757" w:rsidRPr="0044199E" w:rsidRDefault="00DC2757" w:rsidP="00FD790A">
            <w:pPr>
              <w:ind w:right="425"/>
              <w:rPr>
                <w:sz w:val="18"/>
                <w:szCs w:val="18"/>
              </w:rPr>
            </w:pPr>
            <w:r w:rsidRPr="0044199E">
              <w:rPr>
                <w:sz w:val="18"/>
                <w:szCs w:val="18"/>
              </w:rPr>
              <w:t>81 έως και 90</w:t>
            </w:r>
          </w:p>
        </w:tc>
        <w:tc>
          <w:tcPr>
            <w:tcW w:w="2007" w:type="dxa"/>
          </w:tcPr>
          <w:p w:rsidR="00DC2757" w:rsidRPr="0044199E" w:rsidRDefault="00DC2757" w:rsidP="00FD790A">
            <w:pPr>
              <w:ind w:right="425"/>
              <w:rPr>
                <w:sz w:val="18"/>
                <w:szCs w:val="18"/>
              </w:rPr>
            </w:pPr>
            <w:r w:rsidRPr="0044199E">
              <w:rPr>
                <w:sz w:val="18"/>
                <w:szCs w:val="18"/>
              </w:rPr>
              <w:t>40 %</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6</w:t>
            </w:r>
          </w:p>
        </w:tc>
        <w:tc>
          <w:tcPr>
            <w:tcW w:w="1980" w:type="dxa"/>
          </w:tcPr>
          <w:p w:rsidR="00DC2757" w:rsidRPr="0044199E" w:rsidRDefault="00DC2757" w:rsidP="00FD790A">
            <w:pPr>
              <w:ind w:right="425"/>
              <w:rPr>
                <w:sz w:val="18"/>
                <w:szCs w:val="18"/>
              </w:rPr>
            </w:pPr>
            <w:r w:rsidRPr="0044199E">
              <w:rPr>
                <w:sz w:val="18"/>
                <w:szCs w:val="18"/>
              </w:rPr>
              <w:t>31 έως και 40</w:t>
            </w:r>
          </w:p>
        </w:tc>
        <w:tc>
          <w:tcPr>
            <w:tcW w:w="1800" w:type="dxa"/>
          </w:tcPr>
          <w:p w:rsidR="00DC2757" w:rsidRPr="0044199E" w:rsidRDefault="00DC2757" w:rsidP="00FD790A">
            <w:pPr>
              <w:ind w:right="425"/>
              <w:rPr>
                <w:sz w:val="18"/>
                <w:szCs w:val="18"/>
              </w:rPr>
            </w:pPr>
            <w:r w:rsidRPr="0044199E">
              <w:rPr>
                <w:sz w:val="18"/>
                <w:szCs w:val="18"/>
              </w:rPr>
              <w:t>65 %</w:t>
            </w:r>
          </w:p>
        </w:tc>
        <w:tc>
          <w:tcPr>
            <w:tcW w:w="1080" w:type="dxa"/>
          </w:tcPr>
          <w:p w:rsidR="00DC2757" w:rsidRPr="0044199E" w:rsidRDefault="00DC2757" w:rsidP="00FD790A">
            <w:pPr>
              <w:ind w:right="425"/>
              <w:rPr>
                <w:sz w:val="18"/>
                <w:szCs w:val="18"/>
              </w:rPr>
            </w:pPr>
            <w:r w:rsidRPr="0044199E">
              <w:rPr>
                <w:sz w:val="18"/>
                <w:szCs w:val="18"/>
              </w:rPr>
              <w:t>12</w:t>
            </w:r>
          </w:p>
        </w:tc>
        <w:tc>
          <w:tcPr>
            <w:tcW w:w="1980" w:type="dxa"/>
          </w:tcPr>
          <w:p w:rsidR="00DC2757" w:rsidRPr="0044199E" w:rsidRDefault="00DC2757" w:rsidP="00FD790A">
            <w:pPr>
              <w:ind w:right="425"/>
              <w:rPr>
                <w:sz w:val="18"/>
                <w:szCs w:val="18"/>
              </w:rPr>
            </w:pPr>
            <w:r w:rsidRPr="0044199E">
              <w:rPr>
                <w:sz w:val="18"/>
                <w:szCs w:val="18"/>
              </w:rPr>
              <w:t>91 έως και 100</w:t>
            </w:r>
          </w:p>
        </w:tc>
        <w:tc>
          <w:tcPr>
            <w:tcW w:w="2007" w:type="dxa"/>
          </w:tcPr>
          <w:p w:rsidR="00DC2757" w:rsidRPr="0044199E" w:rsidRDefault="00DC2757" w:rsidP="00FD790A">
            <w:pPr>
              <w:ind w:right="425"/>
              <w:rPr>
                <w:sz w:val="18"/>
                <w:szCs w:val="18"/>
              </w:rPr>
            </w:pPr>
            <w:r w:rsidRPr="0044199E">
              <w:rPr>
                <w:sz w:val="18"/>
                <w:szCs w:val="18"/>
              </w:rPr>
              <w:t>30  %</w:t>
            </w:r>
          </w:p>
        </w:tc>
      </w:tr>
    </w:tbl>
    <w:p w:rsidR="00DC2757" w:rsidRDefault="00DC2757" w:rsidP="00DC2757">
      <w:pPr>
        <w:pStyle w:val="a8"/>
        <w:spacing w:line="276" w:lineRule="auto"/>
        <w:ind w:firstLine="720"/>
        <w:rPr>
          <w:rFonts w:ascii="Times New Roman" w:hAnsi="Times New Roman"/>
          <w:sz w:val="24"/>
          <w:szCs w:val="24"/>
        </w:rPr>
      </w:pPr>
    </w:p>
    <w:p w:rsidR="00DC2757" w:rsidRPr="002A5E35" w:rsidRDefault="00DC2757" w:rsidP="00DC2757">
      <w:pPr>
        <w:pStyle w:val="a8"/>
        <w:spacing w:line="276" w:lineRule="auto"/>
        <w:ind w:firstLine="720"/>
        <w:rPr>
          <w:rFonts w:ascii="Times New Roman" w:hAnsi="Times New Roman"/>
        </w:rPr>
      </w:pPr>
      <w:r w:rsidRPr="00C04E23">
        <w:rPr>
          <w:rFonts w:ascii="Times New Roman" w:hAnsi="Times New Roman"/>
          <w:sz w:val="24"/>
          <w:szCs w:val="24"/>
        </w:rPr>
        <w:t xml:space="preserve">      </w:t>
      </w:r>
      <w:r w:rsidRPr="002A5E35">
        <w:rPr>
          <w:rFonts w:ascii="Times New Roman" w:hAnsi="Times New Roman"/>
        </w:rPr>
        <w:t>Οι απαλλαγές, υπολογίζονται επί των προσαυξήσεων και τόκων, όπως έχουν διαμορφωθεί την ημερομηνία της αίτησης για υπαγωγή στη ρύθμιση. Βασικές συνολικές οφειλές :</w:t>
      </w:r>
    </w:p>
    <w:p w:rsidR="00DC2757" w:rsidRPr="002A5E35" w:rsidRDefault="00DC2757" w:rsidP="00DC2757">
      <w:pPr>
        <w:pStyle w:val="a8"/>
        <w:spacing w:line="276" w:lineRule="auto"/>
        <w:ind w:firstLine="720"/>
        <w:rPr>
          <w:rFonts w:ascii="Times New Roman" w:hAnsi="Times New Roman"/>
        </w:rPr>
      </w:pPr>
      <w:r w:rsidRPr="002A5E35">
        <w:rPr>
          <w:rFonts w:ascii="Times New Roman" w:hAnsi="Times New Roman"/>
        </w:rPr>
        <w:t>α)</w:t>
      </w:r>
      <w:r w:rsidRPr="000222EB">
        <w:rPr>
          <w:rFonts w:ascii="Times New Roman" w:hAnsi="Times New Roman"/>
        </w:rPr>
        <w:t xml:space="preserve"> </w:t>
      </w:r>
      <w:r w:rsidRPr="002A5E35">
        <w:rPr>
          <w:rFonts w:ascii="Times New Roman" w:hAnsi="Times New Roman"/>
        </w:rPr>
        <w:t xml:space="preserve">μέχρι πέντε χιλιάδες (5.000) ευρώ από την υπαγωγή τους στη ρύθμιση, δεν επιβαρύνονται πλέον με προσαυξήσεις ή τόκους εκπρόθεσμης καταβολής </w:t>
      </w:r>
    </w:p>
    <w:p w:rsidR="00DC2757" w:rsidRPr="002A5E35" w:rsidRDefault="00DC2757" w:rsidP="00DC2757">
      <w:pPr>
        <w:pStyle w:val="a8"/>
        <w:spacing w:line="276" w:lineRule="auto"/>
        <w:ind w:firstLine="720"/>
        <w:rPr>
          <w:rFonts w:ascii="Times New Roman" w:hAnsi="Times New Roman"/>
        </w:rPr>
      </w:pPr>
      <w:r w:rsidRPr="002A5E35">
        <w:rPr>
          <w:rFonts w:ascii="Times New Roman" w:hAnsi="Times New Roman"/>
        </w:rPr>
        <w:t>β)</w:t>
      </w:r>
      <w:r w:rsidRPr="000222EB">
        <w:rPr>
          <w:rFonts w:ascii="Times New Roman" w:hAnsi="Times New Roman"/>
        </w:rPr>
        <w:t xml:space="preserve"> </w:t>
      </w:r>
      <w:r w:rsidRPr="002A5E35">
        <w:rPr>
          <w:rFonts w:ascii="Times New Roman" w:hAnsi="Times New Roman"/>
        </w:rPr>
        <w:t>άνω των πέντε χιλιάδων (5.000) ευρώ από την υπαγωγή στη ρύθμιση, επιβαρύνονται με τόκο που ανέρχεται σε τρεις εκατοστιαίες μονάδες (3%) ετησίως. Η καθυστέρηση καταβολής δόσης συνεπάγεται την επιβάρυνση αυτής με μηνιαία προσαύξηση 0,25%. Στην εν λόγω ρύθμιση δύνανται τέλος να υπαχθούν και ληξιπρόθεσμες έως και την 1η Μαρτίου 2015 οφειλές που είτε τελούν σε αναστολή, διοικητική ή δικαστική ή εκ του νόμου είτε έχουν υπαχθεί σε ρύθμιση ή διευκόλυνση τμηματικής καταβολής, η οποία είναι σε ισχύ.</w:t>
      </w:r>
    </w:p>
    <w:p w:rsidR="00DC2757" w:rsidRPr="002A5E35" w:rsidRDefault="00DC2757" w:rsidP="00DC2757">
      <w:pPr>
        <w:pStyle w:val="a8"/>
        <w:spacing w:line="276" w:lineRule="auto"/>
        <w:ind w:firstLine="720"/>
        <w:jc w:val="both"/>
        <w:rPr>
          <w:rFonts w:ascii="Times New Roman" w:hAnsi="Times New Roman"/>
        </w:rPr>
      </w:pPr>
      <w:r w:rsidRPr="002A5E35">
        <w:rPr>
          <w:rFonts w:ascii="Times New Roman" w:hAnsi="Times New Roman"/>
        </w:rPr>
        <w:lastRenderedPageBreak/>
        <w:t xml:space="preserve">Για πληροφορίες, οι πολίτες μπορούν να απευθύνονται στα τηλέφωνα </w:t>
      </w:r>
      <w:r w:rsidRPr="002A5E35">
        <w:rPr>
          <w:rFonts w:ascii="Times New Roman" w:hAnsi="Times New Roman"/>
          <w:b/>
        </w:rPr>
        <w:t>22313 51053, 22313 51062</w:t>
      </w:r>
      <w:r w:rsidRPr="002A5E35">
        <w:rPr>
          <w:rFonts w:ascii="Times New Roman" w:hAnsi="Times New Roman"/>
        </w:rPr>
        <w:t xml:space="preserve"> και </w:t>
      </w:r>
      <w:r w:rsidRPr="002A5E35">
        <w:rPr>
          <w:rFonts w:ascii="Times New Roman" w:hAnsi="Times New Roman"/>
          <w:b/>
        </w:rPr>
        <w:t>22313 51080</w:t>
      </w:r>
      <w:r w:rsidRPr="002A5E35">
        <w:rPr>
          <w:rFonts w:ascii="Times New Roman" w:hAnsi="Times New Roman"/>
        </w:rPr>
        <w:t>.</w:t>
      </w:r>
    </w:p>
    <w:p w:rsidR="00722F4D" w:rsidRPr="00722F4D" w:rsidRDefault="00722F4D" w:rsidP="00722F4D">
      <w:pPr>
        <w:spacing w:line="360" w:lineRule="auto"/>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3C" w:rsidRDefault="0055693C" w:rsidP="00FF6773">
      <w:pPr>
        <w:spacing w:after="0" w:line="240" w:lineRule="auto"/>
      </w:pPr>
      <w:r>
        <w:separator/>
      </w:r>
    </w:p>
  </w:endnote>
  <w:endnote w:type="continuationSeparator" w:id="0">
    <w:p w:rsidR="0055693C" w:rsidRDefault="0055693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3C" w:rsidRDefault="0055693C" w:rsidP="00FF6773">
      <w:pPr>
        <w:spacing w:after="0" w:line="240" w:lineRule="auto"/>
      </w:pPr>
      <w:r>
        <w:separator/>
      </w:r>
    </w:p>
  </w:footnote>
  <w:footnote w:type="continuationSeparator" w:id="0">
    <w:p w:rsidR="0055693C" w:rsidRDefault="0055693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00D36"/>
    <w:rsid w:val="00244BBD"/>
    <w:rsid w:val="003D16BE"/>
    <w:rsid w:val="004970AB"/>
    <w:rsid w:val="0055693C"/>
    <w:rsid w:val="005D22F6"/>
    <w:rsid w:val="0071354E"/>
    <w:rsid w:val="00722F4D"/>
    <w:rsid w:val="0099251B"/>
    <w:rsid w:val="00A61CE8"/>
    <w:rsid w:val="00D31BB2"/>
    <w:rsid w:val="00DA76C7"/>
    <w:rsid w:val="00DB26CE"/>
    <w:rsid w:val="00DC19A1"/>
    <w:rsid w:val="00DC2757"/>
    <w:rsid w:val="00DD6010"/>
    <w:rsid w:val="00E40339"/>
    <w:rsid w:val="00EB057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99"/>
    <w:qFormat/>
    <w:rsid w:val="005D22F6"/>
    <w:pPr>
      <w:spacing w:after="0" w:line="240" w:lineRule="auto"/>
    </w:pPr>
  </w:style>
  <w:style w:type="character" w:customStyle="1" w:styleId="fbphotocaptiontext">
    <w:name w:val="fbphotocaptiontext"/>
    <w:basedOn w:val="a0"/>
    <w:rsid w:val="00DC19A1"/>
  </w:style>
  <w:style w:type="character" w:styleId="a9">
    <w:name w:val="Emphasis"/>
    <w:basedOn w:val="a0"/>
    <w:qFormat/>
    <w:rsid w:val="00DC27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99"/>
    <w:qFormat/>
    <w:rsid w:val="005D22F6"/>
    <w:pPr>
      <w:spacing w:after="0" w:line="240" w:lineRule="auto"/>
    </w:pPr>
  </w:style>
  <w:style w:type="character" w:customStyle="1" w:styleId="fbphotocaptiontext">
    <w:name w:val="fbphotocaptiontext"/>
    <w:basedOn w:val="a0"/>
    <w:rsid w:val="00DC19A1"/>
  </w:style>
  <w:style w:type="character" w:styleId="a9">
    <w:name w:val="Emphasis"/>
    <w:basedOn w:val="a0"/>
    <w:qFormat/>
    <w:rsid w:val="00DC2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2682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2015-05-12T06:21:00Z</cp:lastPrinted>
  <dcterms:created xsi:type="dcterms:W3CDTF">2015-05-05T11:19:00Z</dcterms:created>
  <dcterms:modified xsi:type="dcterms:W3CDTF">2015-05-12T06:25:00Z</dcterms:modified>
</cp:coreProperties>
</file>